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2D970" w14:textId="77777777" w:rsidR="0062048D" w:rsidRDefault="0062048D" w:rsidP="0062048D">
      <w:pPr>
        <w:spacing w:before="100" w:beforeAutospacing="1" w:after="100" w:afterAutospacing="1"/>
        <w:rPr>
          <w:rFonts w:cs="Times New Roman"/>
        </w:rPr>
      </w:pPr>
      <w:r>
        <w:rPr>
          <w:rFonts w:cs="Times New Roman"/>
          <w:b/>
          <w:bCs/>
          <w:sz w:val="28"/>
          <w:szCs w:val="28"/>
        </w:rPr>
        <w:t>CGA NEWS</w:t>
      </w:r>
    </w:p>
    <w:p w14:paraId="168C4301" w14:textId="77777777" w:rsidR="0062048D" w:rsidRDefault="0062048D" w:rsidP="0062048D">
      <w:pPr>
        <w:spacing w:before="100" w:beforeAutospacing="1" w:after="100" w:afterAutospacing="1"/>
        <w:rPr>
          <w:rFonts w:cs="Times New Roman"/>
        </w:rPr>
      </w:pPr>
      <w:r>
        <w:rPr>
          <w:rFonts w:cs="Times New Roman"/>
        </w:rPr>
        <w:t>(12-18-12)</w:t>
      </w:r>
    </w:p>
    <w:p w14:paraId="1DF34260" w14:textId="77777777" w:rsidR="0062048D" w:rsidRDefault="0062048D" w:rsidP="0062048D">
      <w:pPr>
        <w:spacing w:before="100" w:beforeAutospacing="1" w:after="100" w:afterAutospacing="1"/>
        <w:rPr>
          <w:rFonts w:cs="Times New Roman"/>
        </w:rPr>
      </w:pPr>
      <w:r>
        <w:rPr>
          <w:rFonts w:cs="Times New Roman"/>
        </w:rPr>
        <w:t>To:       CGA</w:t>
      </w:r>
    </w:p>
    <w:p w14:paraId="18461B85" w14:textId="77777777" w:rsidR="0062048D" w:rsidRDefault="0062048D" w:rsidP="0062048D">
      <w:pPr>
        <w:spacing w:before="100" w:beforeAutospacing="1" w:after="100" w:afterAutospacing="1"/>
        <w:rPr>
          <w:rFonts w:cs="Times New Roman"/>
        </w:rPr>
      </w:pPr>
      <w:r>
        <w:rPr>
          <w:rFonts w:cs="Times New Roman"/>
        </w:rPr>
        <w:t>From:   A</w:t>
      </w:r>
      <w:r>
        <w:rPr>
          <w:rFonts w:ascii="Times New Roman" w:hAnsi="Times New Roman" w:cs="Times New Roman"/>
        </w:rPr>
        <w:t>۰</w:t>
      </w:r>
      <w:r>
        <w:rPr>
          <w:rFonts w:cs="Times New Roman"/>
        </w:rPr>
        <w:t>P</w:t>
      </w:r>
      <w:r>
        <w:rPr>
          <w:rFonts w:ascii="Times New Roman" w:hAnsi="Times New Roman" w:cs="Times New Roman"/>
        </w:rPr>
        <w:t>۰</w:t>
      </w:r>
      <w:r>
        <w:rPr>
          <w:rFonts w:cs="Times New Roman"/>
        </w:rPr>
        <w:t>L</w:t>
      </w:r>
      <w:r>
        <w:rPr>
          <w:rFonts w:ascii="Times New Roman" w:hAnsi="Times New Roman" w:cs="Times New Roman"/>
        </w:rPr>
        <w:t>۰</w:t>
      </w:r>
      <w:r>
        <w:rPr>
          <w:rFonts w:cs="Times New Roman"/>
        </w:rPr>
        <w:t>U Congressional and Governmental Affairs</w:t>
      </w:r>
    </w:p>
    <w:p w14:paraId="430B773F" w14:textId="215D5CBC" w:rsidR="0062048D" w:rsidRDefault="0062048D" w:rsidP="002E3FCE">
      <w:pPr>
        <w:spacing w:before="100" w:beforeAutospacing="1" w:after="100" w:afterAutospacing="1"/>
      </w:pPr>
      <w:r>
        <w:rPr>
          <w:rFonts w:cs="Times New Roman"/>
        </w:rPr>
        <w:t> </w:t>
      </w:r>
      <w:r>
        <w:rPr>
          <w:rFonts w:ascii="Symbol" w:hAnsi="Symbol"/>
        </w:rPr>
        <w:t></w:t>
      </w:r>
      <w:r>
        <w:rPr>
          <w:rFonts w:ascii="Times New Roman" w:hAnsi="Times New Roman"/>
          <w:sz w:val="14"/>
          <w:szCs w:val="14"/>
        </w:rPr>
        <w:t xml:space="preserve">                     </w:t>
      </w:r>
      <w:r>
        <w:t>A</w:t>
      </w:r>
      <w:r>
        <w:rPr>
          <w:rFonts w:ascii="Times New Roman" w:hAnsi="Times New Roman"/>
        </w:rPr>
        <w:t>۰</w:t>
      </w:r>
      <w:r>
        <w:t>P</w:t>
      </w:r>
      <w:r>
        <w:rPr>
          <w:rFonts w:ascii="Times New Roman" w:hAnsi="Times New Roman"/>
        </w:rPr>
        <w:t>۰</w:t>
      </w:r>
      <w:r>
        <w:t>L</w:t>
      </w:r>
      <w:r>
        <w:rPr>
          <w:rFonts w:ascii="Times New Roman" w:hAnsi="Times New Roman"/>
        </w:rPr>
        <w:t>۰</w:t>
      </w:r>
      <w:r>
        <w:t>U to Sign On to Amici Curiae Brief in Bowman v. Monsanto</w:t>
      </w:r>
    </w:p>
    <w:p w14:paraId="29EA8B92" w14:textId="77777777" w:rsidR="0062048D" w:rsidRDefault="0062048D" w:rsidP="0062048D">
      <w:pPr>
        <w:pStyle w:val="NormalWeb"/>
      </w:pPr>
      <w:r>
        <w:rPr>
          <w:rFonts w:ascii="Symbol" w:hAnsi="Symbol"/>
          <w:sz w:val="24"/>
          <w:szCs w:val="24"/>
        </w:rPr>
        <w:t></w:t>
      </w:r>
      <w:r>
        <w:rPr>
          <w:rFonts w:ascii="Times New Roman" w:hAnsi="Times New Roman"/>
          <w:sz w:val="14"/>
          <w:szCs w:val="14"/>
        </w:rPr>
        <w:t xml:space="preserve">                     </w:t>
      </w:r>
      <w:r>
        <w:rPr>
          <w:sz w:val="24"/>
          <w:szCs w:val="24"/>
        </w:rPr>
        <w:t xml:space="preserve">NACUBO Shares Guidance on Student Debit Cards </w:t>
      </w:r>
    </w:p>
    <w:p w14:paraId="25F93828" w14:textId="77777777" w:rsidR="0062048D" w:rsidRDefault="0062048D" w:rsidP="0062048D">
      <w:pPr>
        <w:pStyle w:val="NormalWeb"/>
      </w:pPr>
      <w:r>
        <w:rPr>
          <w:rFonts w:ascii="Symbol" w:hAnsi="Symbol"/>
          <w:sz w:val="24"/>
          <w:szCs w:val="24"/>
        </w:rPr>
        <w:t></w:t>
      </w:r>
      <w:r>
        <w:rPr>
          <w:rFonts w:ascii="Times New Roman" w:hAnsi="Times New Roman"/>
          <w:sz w:val="14"/>
          <w:szCs w:val="14"/>
        </w:rPr>
        <w:t xml:space="preserve">                     </w:t>
      </w:r>
      <w:r>
        <w:rPr>
          <w:sz w:val="24"/>
          <w:szCs w:val="24"/>
        </w:rPr>
        <w:t>Associations Express Support for Revised Veterans Education Legislation.</w:t>
      </w:r>
    </w:p>
    <w:p w14:paraId="3DDAF055" w14:textId="4064BCC4" w:rsidR="0062048D" w:rsidRDefault="0062048D" w:rsidP="002E3FCE">
      <w:pPr>
        <w:spacing w:before="100" w:beforeAutospacing="1" w:after="100" w:afterAutospacing="1"/>
      </w:pPr>
      <w:r>
        <w:rPr>
          <w:rFonts w:cs="Times New Roman"/>
        </w:rPr>
        <w:t> </w:t>
      </w:r>
      <w:r>
        <w:rPr>
          <w:rFonts w:ascii="Symbol" w:hAnsi="Symbol"/>
        </w:rPr>
        <w:t></w:t>
      </w:r>
      <w:r>
        <w:rPr>
          <w:rFonts w:ascii="Times New Roman" w:hAnsi="Times New Roman"/>
          <w:sz w:val="14"/>
          <w:szCs w:val="14"/>
        </w:rPr>
        <w:t xml:space="preserve">                     </w:t>
      </w:r>
      <w:r>
        <w:t>A</w:t>
      </w:r>
      <w:r>
        <w:rPr>
          <w:rFonts w:ascii="Times New Roman" w:hAnsi="Times New Roman"/>
        </w:rPr>
        <w:t>۰</w:t>
      </w:r>
      <w:r>
        <w:t>P</w:t>
      </w:r>
      <w:r>
        <w:rPr>
          <w:rFonts w:ascii="Times New Roman" w:hAnsi="Times New Roman"/>
        </w:rPr>
        <w:t>۰</w:t>
      </w:r>
      <w:r>
        <w:t>L</w:t>
      </w:r>
      <w:r>
        <w:rPr>
          <w:rFonts w:ascii="Times New Roman" w:hAnsi="Times New Roman"/>
        </w:rPr>
        <w:t>۰</w:t>
      </w:r>
      <w:r>
        <w:t>U to Sign On to Amici Curiae Brief in Bowman v. Monsanto</w:t>
      </w:r>
    </w:p>
    <w:p w14:paraId="0255C376" w14:textId="73AA87BD" w:rsidR="0062048D" w:rsidRDefault="0062048D" w:rsidP="0062048D">
      <w:pPr>
        <w:spacing w:before="100" w:beforeAutospacing="1" w:after="100" w:afterAutospacing="1"/>
        <w:rPr>
          <w:rFonts w:cs="Times New Roman"/>
        </w:rPr>
      </w:pPr>
      <w:r>
        <w:rPr>
          <w:rFonts w:cs="Times New Roman"/>
        </w:rPr>
        <w:t> A</w:t>
      </w:r>
      <w:r>
        <w:rPr>
          <w:rFonts w:ascii="Times New Roman" w:hAnsi="Times New Roman" w:cs="Times New Roman"/>
        </w:rPr>
        <w:t>۰</w:t>
      </w:r>
      <w:r>
        <w:rPr>
          <w:rFonts w:cs="Times New Roman"/>
        </w:rPr>
        <w:t>P</w:t>
      </w:r>
      <w:r>
        <w:rPr>
          <w:rFonts w:ascii="Times New Roman" w:hAnsi="Times New Roman" w:cs="Times New Roman"/>
        </w:rPr>
        <w:t>۰</w:t>
      </w:r>
      <w:r>
        <w:rPr>
          <w:rFonts w:cs="Times New Roman"/>
        </w:rPr>
        <w:t>L</w:t>
      </w:r>
      <w:r>
        <w:rPr>
          <w:rFonts w:ascii="Times New Roman" w:hAnsi="Times New Roman" w:cs="Times New Roman"/>
        </w:rPr>
        <w:t>۰</w:t>
      </w:r>
      <w:r>
        <w:rPr>
          <w:rFonts w:cs="Times New Roman"/>
        </w:rPr>
        <w:t xml:space="preserve">U intends to sign on to an amici curiae brief relating to the </w:t>
      </w:r>
      <w:r>
        <w:rPr>
          <w:rFonts w:cs="Times New Roman"/>
          <w:i/>
          <w:iCs/>
        </w:rPr>
        <w:t>Bowman v. Monsanto</w:t>
      </w:r>
      <w:r>
        <w:rPr>
          <w:rFonts w:cs="Times New Roman"/>
        </w:rPr>
        <w:t xml:space="preserve"> Supreme Court case. The brief will be in support of principles raised in the case, advocating for protection of intellectual property involving self-replicating technology. </w:t>
      </w:r>
    </w:p>
    <w:p w14:paraId="1B55D2A3" w14:textId="70264402" w:rsidR="0062048D" w:rsidRDefault="0062048D" w:rsidP="0062048D">
      <w:pPr>
        <w:spacing w:before="100" w:beforeAutospacing="1" w:after="100" w:afterAutospacing="1"/>
        <w:rPr>
          <w:rFonts w:cs="Times New Roman"/>
        </w:rPr>
      </w:pPr>
      <w:r>
        <w:rPr>
          <w:rFonts w:cs="Times New Roman"/>
        </w:rPr>
        <w:t xml:space="preserve"> The Wisconsin Alumni Research Foundation (WARF) is leading a university community effort to submit </w:t>
      </w:r>
      <w:proofErr w:type="gramStart"/>
      <w:r>
        <w:rPr>
          <w:rFonts w:cs="Times New Roman"/>
        </w:rPr>
        <w:t>an amici curiae</w:t>
      </w:r>
      <w:proofErr w:type="gramEnd"/>
      <w:r>
        <w:rPr>
          <w:rFonts w:cs="Times New Roman"/>
        </w:rPr>
        <w:t xml:space="preserve"> brief in the </w:t>
      </w:r>
      <w:r>
        <w:rPr>
          <w:rFonts w:cs="Times New Roman"/>
          <w:i/>
          <w:iCs/>
        </w:rPr>
        <w:t>Bowman v. Monsanto</w:t>
      </w:r>
      <w:r>
        <w:rPr>
          <w:rFonts w:cs="Times New Roman"/>
        </w:rPr>
        <w:t xml:space="preserve"> case, set for argument before the U.S. Supreme Court on February 19, 2013. More information on the case can be found at the links included below. Attached to this email are: a copy of the petitioner’s (Vernon Hugh Bowman) brief filed on December 3, 2012; and the questions presented in the case.</w:t>
      </w:r>
    </w:p>
    <w:p w14:paraId="7C4B48E6" w14:textId="070C05BA" w:rsidR="0062048D" w:rsidRDefault="0062048D" w:rsidP="0062048D">
      <w:pPr>
        <w:spacing w:before="100" w:beforeAutospacing="1" w:after="100" w:afterAutospacing="1"/>
        <w:rPr>
          <w:rFonts w:cs="Times New Roman"/>
        </w:rPr>
      </w:pPr>
      <w:r>
        <w:rPr>
          <w:rFonts w:cs="Times New Roman"/>
        </w:rPr>
        <w:t> The case concerns “Roundup Ready” soybean seeds, sold by Monsanto, that contain self-replicating genetic modification that makes the seeds and their progeny resistant to the herbicide Roundup. The Federal Circuit found in favor of Monsanto in a patent infringement case brought by the company against Bowman, a farmer who later planted seeds that in fact carried the Roundup Ready genes but were obtained from a grain elevator. Bowman claimed that patent exhaustion applied to his use of these soybean seeds. Patent exhaustion “delimits rights of patent holders by eliminating the right to control or prohibit use of the invention after an authorized sale” (see attached questions presented). The Federal Circuit refused to find patent exhaustion in this case, and legally acknowledged an exception to patent exhaustion for self-replicating technologies.</w:t>
      </w:r>
    </w:p>
    <w:p w14:paraId="693BF3E5" w14:textId="734473EE" w:rsidR="0062048D" w:rsidRDefault="0062048D" w:rsidP="0062048D">
      <w:pPr>
        <w:spacing w:before="100" w:beforeAutospacing="1" w:after="100" w:afterAutospacing="1"/>
        <w:rPr>
          <w:rFonts w:cs="Times New Roman"/>
        </w:rPr>
      </w:pPr>
      <w:r>
        <w:rPr>
          <w:rFonts w:cs="Times New Roman"/>
        </w:rPr>
        <w:t> Because this case will set precedent for other self-replicating technologies and patent law principles, A</w:t>
      </w:r>
      <w:r>
        <w:rPr>
          <w:rFonts w:ascii="Times New Roman" w:hAnsi="Times New Roman" w:cs="Times New Roman"/>
        </w:rPr>
        <w:t>۰</w:t>
      </w:r>
      <w:r>
        <w:rPr>
          <w:rFonts w:cs="Times New Roman"/>
        </w:rPr>
        <w:t>P</w:t>
      </w:r>
      <w:r>
        <w:rPr>
          <w:rFonts w:ascii="Times New Roman" w:hAnsi="Times New Roman" w:cs="Times New Roman"/>
        </w:rPr>
        <w:t>۰</w:t>
      </w:r>
      <w:r>
        <w:rPr>
          <w:rFonts w:cs="Times New Roman"/>
        </w:rPr>
        <w:t>L</w:t>
      </w:r>
      <w:r>
        <w:rPr>
          <w:rFonts w:ascii="Times New Roman" w:hAnsi="Times New Roman" w:cs="Times New Roman"/>
        </w:rPr>
        <w:t>۰</w:t>
      </w:r>
      <w:r>
        <w:rPr>
          <w:rFonts w:cs="Times New Roman"/>
        </w:rPr>
        <w:t xml:space="preserve">U plans to sign on to the amici brief (pending review of the brief as written). While the brief to be submitted will be filed in support of affirming the decision of the Federal Circuit (formally on the side of the Respondent, Monsanto), the brief will not delve into the detailed facts of this specific case. It will be focused instead on the </w:t>
      </w:r>
      <w:r>
        <w:rPr>
          <w:rFonts w:cs="Times New Roman"/>
          <w:u w:val="single"/>
        </w:rPr>
        <w:t>principle</w:t>
      </w:r>
      <w:r>
        <w:rPr>
          <w:rFonts w:cs="Times New Roman"/>
        </w:rPr>
        <w:t xml:space="preserve"> of patent protection for self-replicating technology and denial of the patent exhaustion argument’s applicability.</w:t>
      </w:r>
    </w:p>
    <w:p w14:paraId="2F108048" w14:textId="2420569E" w:rsidR="0062048D" w:rsidRDefault="0062048D" w:rsidP="0062048D">
      <w:pPr>
        <w:spacing w:before="100" w:beforeAutospacing="1" w:after="100" w:afterAutospacing="1"/>
        <w:rPr>
          <w:rFonts w:cs="Times New Roman"/>
        </w:rPr>
      </w:pPr>
      <w:r>
        <w:rPr>
          <w:rFonts w:cs="Times New Roman"/>
        </w:rPr>
        <w:lastRenderedPageBreak/>
        <w:t xml:space="preserve"> WARF is working with a law </w:t>
      </w:r>
      <w:proofErr w:type="gramStart"/>
      <w:r>
        <w:rPr>
          <w:rFonts w:cs="Times New Roman"/>
        </w:rPr>
        <w:t>firm which</w:t>
      </w:r>
      <w:proofErr w:type="gramEnd"/>
      <w:r>
        <w:rPr>
          <w:rFonts w:cs="Times New Roman"/>
        </w:rPr>
        <w:t xml:space="preserve"> has offered to prepare the amici curiae brief pro bono. The brief is due to the Supreme Court by January 16, and A</w:t>
      </w:r>
      <w:r>
        <w:rPr>
          <w:rFonts w:ascii="Times New Roman" w:hAnsi="Times New Roman" w:cs="Times New Roman"/>
        </w:rPr>
        <w:t>۰</w:t>
      </w:r>
      <w:r>
        <w:rPr>
          <w:rFonts w:cs="Times New Roman"/>
        </w:rPr>
        <w:t>P</w:t>
      </w:r>
      <w:r>
        <w:rPr>
          <w:rFonts w:ascii="Times New Roman" w:hAnsi="Times New Roman" w:cs="Times New Roman"/>
        </w:rPr>
        <w:t>۰</w:t>
      </w:r>
      <w:r>
        <w:rPr>
          <w:rFonts w:cs="Times New Roman"/>
        </w:rPr>
        <w:t>L</w:t>
      </w:r>
      <w:r>
        <w:rPr>
          <w:rFonts w:ascii="Times New Roman" w:hAnsi="Times New Roman" w:cs="Times New Roman"/>
        </w:rPr>
        <w:t>۰</w:t>
      </w:r>
      <w:r>
        <w:rPr>
          <w:rFonts w:cs="Times New Roman"/>
        </w:rPr>
        <w:t xml:space="preserve">U expects to see a draft of the brief the week before. Reportedly, several institutions plan to sign on to the brief individually (pending review of the brief). </w:t>
      </w:r>
    </w:p>
    <w:p w14:paraId="27161204" w14:textId="77777777" w:rsidR="0062048D" w:rsidRDefault="0062048D" w:rsidP="0062048D">
      <w:pPr>
        <w:spacing w:before="100" w:beforeAutospacing="1" w:after="100" w:afterAutospacing="1"/>
        <w:rPr>
          <w:rFonts w:cs="Times New Roman"/>
        </w:rPr>
      </w:pPr>
      <w:r>
        <w:rPr>
          <w:rFonts w:cs="Times New Roman"/>
        </w:rPr>
        <w:t> </w:t>
      </w:r>
    </w:p>
    <w:p w14:paraId="14BDDE5A" w14:textId="77777777" w:rsidR="0062048D" w:rsidRDefault="0062048D" w:rsidP="0062048D">
      <w:pPr>
        <w:spacing w:before="100" w:beforeAutospacing="1" w:after="100" w:afterAutospacing="1"/>
        <w:rPr>
          <w:rFonts w:cs="Times New Roman"/>
        </w:rPr>
      </w:pPr>
      <w:r>
        <w:rPr>
          <w:rFonts w:cs="Times New Roman"/>
        </w:rPr>
        <w:t>CGA members with questions or comments regarding this case and A</w:t>
      </w:r>
      <w:r>
        <w:rPr>
          <w:rFonts w:ascii="Times New Roman" w:hAnsi="Times New Roman" w:cs="Times New Roman"/>
        </w:rPr>
        <w:t>۰</w:t>
      </w:r>
      <w:r>
        <w:rPr>
          <w:rFonts w:cs="Times New Roman"/>
        </w:rPr>
        <w:t>P</w:t>
      </w:r>
      <w:r>
        <w:rPr>
          <w:rFonts w:ascii="Times New Roman" w:hAnsi="Times New Roman" w:cs="Times New Roman"/>
        </w:rPr>
        <w:t>۰</w:t>
      </w:r>
      <w:r>
        <w:rPr>
          <w:rFonts w:cs="Times New Roman"/>
        </w:rPr>
        <w:t>L</w:t>
      </w:r>
      <w:r>
        <w:rPr>
          <w:rFonts w:ascii="Times New Roman" w:hAnsi="Times New Roman" w:cs="Times New Roman"/>
        </w:rPr>
        <w:t>۰</w:t>
      </w:r>
      <w:r>
        <w:rPr>
          <w:rFonts w:cs="Times New Roman"/>
        </w:rPr>
        <w:t xml:space="preserve">U’s intention to sign on to the brief are asked to contact Jim </w:t>
      </w:r>
      <w:proofErr w:type="spellStart"/>
      <w:r>
        <w:rPr>
          <w:rFonts w:cs="Times New Roman"/>
        </w:rPr>
        <w:t>Woodell</w:t>
      </w:r>
      <w:proofErr w:type="spellEnd"/>
      <w:r>
        <w:rPr>
          <w:rFonts w:cs="Times New Roman"/>
        </w:rPr>
        <w:t>, A</w:t>
      </w:r>
      <w:r>
        <w:rPr>
          <w:rFonts w:ascii="Times New Roman" w:hAnsi="Times New Roman" w:cs="Times New Roman"/>
        </w:rPr>
        <w:t>۰</w:t>
      </w:r>
      <w:r>
        <w:rPr>
          <w:rFonts w:cs="Times New Roman"/>
        </w:rPr>
        <w:t>P</w:t>
      </w:r>
      <w:r>
        <w:rPr>
          <w:rFonts w:ascii="Times New Roman" w:hAnsi="Times New Roman" w:cs="Times New Roman"/>
        </w:rPr>
        <w:t>۰</w:t>
      </w:r>
      <w:r>
        <w:rPr>
          <w:rFonts w:cs="Times New Roman"/>
        </w:rPr>
        <w:t>L</w:t>
      </w:r>
      <w:r>
        <w:rPr>
          <w:rFonts w:ascii="Times New Roman" w:hAnsi="Times New Roman" w:cs="Times New Roman"/>
        </w:rPr>
        <w:t>۰</w:t>
      </w:r>
      <w:r>
        <w:rPr>
          <w:rFonts w:cs="Times New Roman"/>
        </w:rPr>
        <w:t>U’s Director of Innovation and Technology Policy (</w:t>
      </w:r>
      <w:r>
        <w:rPr>
          <w:rFonts w:cs="Times New Roman"/>
        </w:rPr>
        <w:fldChar w:fldCharType="begin"/>
      </w:r>
      <w:r>
        <w:rPr>
          <w:rFonts w:cs="Times New Roman"/>
        </w:rPr>
        <w:instrText xml:space="preserve"> HYPERLINK "mailto:jwoodell@aplu.org" \t "_blank" </w:instrText>
      </w:r>
      <w:r>
        <w:rPr>
          <w:rFonts w:cs="Times New Roman"/>
        </w:rPr>
        <w:fldChar w:fldCharType="separate"/>
      </w:r>
      <w:r>
        <w:rPr>
          <w:rStyle w:val="Hyperlink"/>
          <w:rFonts w:cs="Times New Roman"/>
        </w:rPr>
        <w:t>jwoodell@aplu.org</w:t>
      </w:r>
      <w:r>
        <w:rPr>
          <w:rFonts w:cs="Times New Roman"/>
        </w:rPr>
        <w:fldChar w:fldCharType="end"/>
      </w:r>
      <w:r>
        <w:rPr>
          <w:rFonts w:cs="Times New Roman"/>
        </w:rPr>
        <w:t>, 202-478-6044).</w:t>
      </w:r>
    </w:p>
    <w:p w14:paraId="6D5CF6EA" w14:textId="07A7A745" w:rsidR="0062048D" w:rsidRDefault="0062048D" w:rsidP="0062048D">
      <w:pPr>
        <w:spacing w:before="100" w:beforeAutospacing="1" w:after="100" w:afterAutospacing="1"/>
        <w:rPr>
          <w:rFonts w:cs="Times New Roman"/>
        </w:rPr>
      </w:pPr>
      <w:r>
        <w:rPr>
          <w:rFonts w:cs="Times New Roman"/>
        </w:rPr>
        <w:t> The following related links might be of interest:</w:t>
      </w:r>
    </w:p>
    <w:p w14:paraId="25BDD29C" w14:textId="45C8BA90" w:rsidR="0062048D" w:rsidRDefault="0062048D" w:rsidP="0062048D">
      <w:pPr>
        <w:spacing w:before="100" w:beforeAutospacing="1" w:after="100" w:afterAutospacing="1"/>
        <w:ind w:left="720"/>
        <w:rPr>
          <w:rFonts w:cs="Times New Roman"/>
        </w:rPr>
      </w:pPr>
      <w:r>
        <w:rPr>
          <w:rFonts w:cs="Times New Roman"/>
        </w:rPr>
        <w:t xml:space="preserve"> Supreme Court docket page: </w:t>
      </w:r>
      <w:r>
        <w:rPr>
          <w:rFonts w:cs="Times New Roman"/>
        </w:rPr>
        <w:fldChar w:fldCharType="begin"/>
      </w:r>
      <w:r>
        <w:rPr>
          <w:rFonts w:cs="Times New Roman"/>
        </w:rPr>
        <w:instrText xml:space="preserve"> HYPERLINK "http://www.supremecourt.gov/Search.aspx?FileName=/docketfiles/11-796.htm" \t "_blank" </w:instrText>
      </w:r>
      <w:r>
        <w:rPr>
          <w:rFonts w:cs="Times New Roman"/>
        </w:rPr>
        <w:fldChar w:fldCharType="separate"/>
      </w:r>
      <w:r>
        <w:rPr>
          <w:rStyle w:val="Hyperlink"/>
          <w:rFonts w:cs="Times New Roman"/>
        </w:rPr>
        <w:t>http://www.supremecourt.gov/Search.aspx?FileName=/docketfiles/11-796.htm</w:t>
      </w:r>
      <w:r>
        <w:rPr>
          <w:rFonts w:cs="Times New Roman"/>
        </w:rPr>
        <w:fldChar w:fldCharType="end"/>
      </w:r>
    </w:p>
    <w:p w14:paraId="49F11EAB" w14:textId="40A9FE81" w:rsidR="0062048D" w:rsidRDefault="0062048D" w:rsidP="0062048D">
      <w:pPr>
        <w:spacing w:before="100" w:beforeAutospacing="1" w:after="100" w:afterAutospacing="1"/>
        <w:ind w:left="720"/>
        <w:rPr>
          <w:rFonts w:cs="Times New Roman"/>
        </w:rPr>
      </w:pPr>
      <w:r>
        <w:rPr>
          <w:rFonts w:cs="Times New Roman"/>
        </w:rPr>
        <w:t xml:space="preserve"> SCOTUS blog case file: </w:t>
      </w:r>
      <w:r>
        <w:rPr>
          <w:rFonts w:cs="Times New Roman"/>
        </w:rPr>
        <w:fldChar w:fldCharType="begin"/>
      </w:r>
      <w:r>
        <w:rPr>
          <w:rFonts w:cs="Times New Roman"/>
        </w:rPr>
        <w:instrText xml:space="preserve"> HYPERLINK "http://www.scotusblog.com/case-files/cases/bowman-v-monsanto-co/" \t "_blank" </w:instrText>
      </w:r>
      <w:r>
        <w:rPr>
          <w:rFonts w:cs="Times New Roman"/>
        </w:rPr>
        <w:fldChar w:fldCharType="separate"/>
      </w:r>
      <w:r>
        <w:rPr>
          <w:rStyle w:val="Hyperlink"/>
          <w:rFonts w:cs="Times New Roman"/>
        </w:rPr>
        <w:t>http://www.scotusblog.com/case-files/cases/bowman-v-monsanto-co/</w:t>
      </w:r>
      <w:r>
        <w:rPr>
          <w:rFonts w:cs="Times New Roman"/>
        </w:rPr>
        <w:fldChar w:fldCharType="end"/>
      </w:r>
    </w:p>
    <w:p w14:paraId="24165555" w14:textId="77777777" w:rsidR="0062048D" w:rsidRDefault="0062048D" w:rsidP="0062048D">
      <w:pPr>
        <w:pStyle w:val="NormalWeb"/>
      </w:pPr>
      <w:r>
        <w:rPr>
          <w:rFonts w:ascii="Symbol" w:hAnsi="Symbol"/>
          <w:sz w:val="24"/>
          <w:szCs w:val="24"/>
        </w:rPr>
        <w:t></w:t>
      </w:r>
      <w:r>
        <w:rPr>
          <w:rFonts w:ascii="Times New Roman" w:hAnsi="Times New Roman"/>
          <w:sz w:val="14"/>
          <w:szCs w:val="14"/>
        </w:rPr>
        <w:t xml:space="preserve">                     </w:t>
      </w:r>
      <w:r>
        <w:rPr>
          <w:sz w:val="24"/>
          <w:szCs w:val="24"/>
        </w:rPr>
        <w:t xml:space="preserve">NACUBO Shares Guidance on Student Debit Cards </w:t>
      </w:r>
    </w:p>
    <w:p w14:paraId="7810D86A" w14:textId="03775CE8" w:rsidR="0062048D" w:rsidRDefault="0062048D" w:rsidP="0062048D">
      <w:pPr>
        <w:spacing w:before="100" w:beforeAutospacing="1" w:after="100" w:afterAutospacing="1"/>
        <w:rPr>
          <w:rFonts w:cs="Times New Roman"/>
        </w:rPr>
      </w:pPr>
      <w:r>
        <w:rPr>
          <w:rFonts w:cs="Times New Roman"/>
        </w:rPr>
        <w:t> On Monday, the National Association of College and University Business Officers (NACUBO) shared a guidance document with its members with respect to institutional policies on student debit cards.  The guidance comes as a follow-up to Congressional interest on some campus practices related to the issuance and use of student debit cards.</w:t>
      </w:r>
    </w:p>
    <w:p w14:paraId="1C59790E" w14:textId="1533CFE7" w:rsidR="0062048D" w:rsidRDefault="0062048D" w:rsidP="0062048D">
      <w:pPr>
        <w:spacing w:before="100" w:beforeAutospacing="1" w:after="100" w:afterAutospacing="1"/>
        <w:rPr>
          <w:rFonts w:cs="Times New Roman"/>
        </w:rPr>
      </w:pPr>
      <w:r>
        <w:rPr>
          <w:rFonts w:cs="Times New Roman"/>
        </w:rPr>
        <w:t> The guidance document is attached as a PDF document.</w:t>
      </w:r>
    </w:p>
    <w:p w14:paraId="3A8D5568" w14:textId="7FBB9D6B" w:rsidR="0062048D" w:rsidRDefault="0062048D" w:rsidP="002E3FCE">
      <w:pPr>
        <w:spacing w:before="100" w:beforeAutospacing="1" w:after="100" w:afterAutospacing="1"/>
      </w:pPr>
      <w:r>
        <w:rPr>
          <w:rFonts w:cs="Times New Roman"/>
        </w:rPr>
        <w:t> </w:t>
      </w:r>
      <w:r>
        <w:rPr>
          <w:rFonts w:ascii="Symbol" w:hAnsi="Symbol"/>
        </w:rPr>
        <w:t></w:t>
      </w:r>
      <w:r>
        <w:rPr>
          <w:rFonts w:ascii="Times New Roman" w:hAnsi="Times New Roman"/>
          <w:sz w:val="14"/>
          <w:szCs w:val="14"/>
        </w:rPr>
        <w:t xml:space="preserve">                     </w:t>
      </w:r>
      <w:r>
        <w:t>Associations Express Support for Revised Veterans Education Legislation.</w:t>
      </w:r>
    </w:p>
    <w:p w14:paraId="66FF68B3" w14:textId="5B92FD2B" w:rsidR="0062048D" w:rsidRDefault="0062048D" w:rsidP="0062048D">
      <w:pPr>
        <w:spacing w:before="100" w:beforeAutospacing="1" w:after="100" w:afterAutospacing="1"/>
        <w:rPr>
          <w:rFonts w:cs="Times New Roman"/>
        </w:rPr>
      </w:pPr>
      <w:r>
        <w:rPr>
          <w:rFonts w:cs="Times New Roman"/>
        </w:rPr>
        <w:t> Earlier today, the major higher education associations, including A</w:t>
      </w:r>
      <w:r>
        <w:rPr>
          <w:rFonts w:ascii="Times New Roman" w:hAnsi="Times New Roman" w:cs="Times New Roman"/>
        </w:rPr>
        <w:t>۰</w:t>
      </w:r>
      <w:r>
        <w:rPr>
          <w:rFonts w:cs="Times New Roman"/>
        </w:rPr>
        <w:t>P</w:t>
      </w:r>
      <w:r>
        <w:rPr>
          <w:rFonts w:ascii="Times New Roman" w:hAnsi="Times New Roman" w:cs="Times New Roman"/>
        </w:rPr>
        <w:t>۰</w:t>
      </w:r>
      <w:r>
        <w:rPr>
          <w:rFonts w:cs="Times New Roman"/>
        </w:rPr>
        <w:t>L</w:t>
      </w:r>
      <w:r>
        <w:rPr>
          <w:rFonts w:ascii="Times New Roman" w:hAnsi="Times New Roman" w:cs="Times New Roman"/>
        </w:rPr>
        <w:t>۰</w:t>
      </w:r>
      <w:r>
        <w:rPr>
          <w:rFonts w:cs="Times New Roman"/>
        </w:rPr>
        <w:t>U, sent a letter of support to Senators Patty Murray (D-WA) and Richard Burr (R-NC), the Chair and Ranking Member of the Senate Veterans Affairs Committee, respectively, for the substitute amendment to H.R. 4057.  The higher education community, Congressional staff, and veterans’ service organizations cooperated to come up with legislation that would provide sensible provisions that would lead to greater levels of transparency for veterans as they pursue educational opportunities.  The substitute amendment to H.R. 4057, which could be taken up by the Senate very shortly by unanimous consent, represents the product of that effort.  At this point, the House is expected to bring up the bill after Senate action.</w:t>
      </w:r>
    </w:p>
    <w:p w14:paraId="6827587E" w14:textId="310738A8" w:rsidR="0062048D" w:rsidRDefault="0062048D" w:rsidP="0062048D">
      <w:pPr>
        <w:spacing w:before="100" w:beforeAutospacing="1" w:after="100" w:afterAutospacing="1"/>
        <w:rPr>
          <w:rFonts w:cs="Times New Roman"/>
        </w:rPr>
      </w:pPr>
      <w:r>
        <w:rPr>
          <w:rFonts w:cs="Times New Roman"/>
        </w:rPr>
        <w:t> </w:t>
      </w:r>
      <w:bookmarkStart w:id="0" w:name="_GoBack"/>
      <w:bookmarkEnd w:id="0"/>
      <w:r>
        <w:rPr>
          <w:rFonts w:cs="Times New Roman"/>
        </w:rPr>
        <w:t>A copy of the community letter, the revised bill, and the summary of the bill are attached as separate documents.</w:t>
      </w:r>
    </w:p>
    <w:p w14:paraId="2E57CF8D" w14:textId="614089C9" w:rsidR="00D04DB4" w:rsidRPr="0062048D" w:rsidRDefault="00D04DB4" w:rsidP="0062048D"/>
    <w:sectPr w:rsidR="00D04DB4" w:rsidRPr="0062048D" w:rsidSect="002E3FCE">
      <w:pgSz w:w="12240" w:h="15840"/>
      <w:pgMar w:top="135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26"/>
    <w:rsid w:val="002B35CC"/>
    <w:rsid w:val="002E3FCE"/>
    <w:rsid w:val="0062048D"/>
    <w:rsid w:val="007A4A26"/>
    <w:rsid w:val="00953FE5"/>
    <w:rsid w:val="00B03AA9"/>
    <w:rsid w:val="00B03FE5"/>
    <w:rsid w:val="00D04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EEC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A26"/>
    <w:pPr>
      <w:spacing w:before="100" w:beforeAutospacing="1" w:after="100" w:afterAutospacing="1"/>
    </w:pPr>
    <w:rPr>
      <w:rFonts w:ascii="Times" w:hAnsi="Times" w:cs="Times New Roman"/>
      <w:color w:val="auto"/>
      <w:sz w:val="20"/>
      <w:szCs w:val="20"/>
    </w:rPr>
  </w:style>
  <w:style w:type="character" w:styleId="Hyperlink">
    <w:name w:val="Hyperlink"/>
    <w:basedOn w:val="DefaultParagraphFont"/>
    <w:uiPriority w:val="99"/>
    <w:semiHidden/>
    <w:unhideWhenUsed/>
    <w:rsid w:val="00953FE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A26"/>
    <w:pPr>
      <w:spacing w:before="100" w:beforeAutospacing="1" w:after="100" w:afterAutospacing="1"/>
    </w:pPr>
    <w:rPr>
      <w:rFonts w:ascii="Times" w:hAnsi="Times" w:cs="Times New Roman"/>
      <w:color w:val="auto"/>
      <w:sz w:val="20"/>
      <w:szCs w:val="20"/>
    </w:rPr>
  </w:style>
  <w:style w:type="character" w:styleId="Hyperlink">
    <w:name w:val="Hyperlink"/>
    <w:basedOn w:val="DefaultParagraphFont"/>
    <w:uiPriority w:val="99"/>
    <w:semiHidden/>
    <w:unhideWhenUsed/>
    <w:rsid w:val="00953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096">
      <w:bodyDiv w:val="1"/>
      <w:marLeft w:val="0"/>
      <w:marRight w:val="0"/>
      <w:marTop w:val="0"/>
      <w:marBottom w:val="0"/>
      <w:divBdr>
        <w:top w:val="none" w:sz="0" w:space="0" w:color="auto"/>
        <w:left w:val="none" w:sz="0" w:space="0" w:color="auto"/>
        <w:bottom w:val="none" w:sz="0" w:space="0" w:color="auto"/>
        <w:right w:val="none" w:sz="0" w:space="0" w:color="auto"/>
      </w:divBdr>
    </w:div>
    <w:div w:id="473302253">
      <w:bodyDiv w:val="1"/>
      <w:marLeft w:val="0"/>
      <w:marRight w:val="0"/>
      <w:marTop w:val="0"/>
      <w:marBottom w:val="0"/>
      <w:divBdr>
        <w:top w:val="none" w:sz="0" w:space="0" w:color="auto"/>
        <w:left w:val="none" w:sz="0" w:space="0" w:color="auto"/>
        <w:bottom w:val="none" w:sz="0" w:space="0" w:color="auto"/>
        <w:right w:val="none" w:sz="0" w:space="0" w:color="auto"/>
      </w:divBdr>
    </w:div>
    <w:div w:id="1043822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4316</Characters>
  <Application>Microsoft Macintosh Word</Application>
  <DocSecurity>0</DocSecurity>
  <Lines>35</Lines>
  <Paragraphs>10</Paragraphs>
  <ScaleCrop>false</ScaleCrop>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DiMercurio</dc:creator>
  <cp:keywords/>
  <dc:description/>
  <cp:lastModifiedBy>Claudia DiMercurio</cp:lastModifiedBy>
  <cp:revision>3</cp:revision>
  <dcterms:created xsi:type="dcterms:W3CDTF">2012-12-19T13:05:00Z</dcterms:created>
  <dcterms:modified xsi:type="dcterms:W3CDTF">2012-12-19T13:09:00Z</dcterms:modified>
</cp:coreProperties>
</file>